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Magic Square Vocabulary Sheet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Magic Squares combine vocabulary with math.  Kids enjoy solving mysteries.  They enjoy creating them even more.  This activity requires that a student read closely to select appropriate vocabulary from a text.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Task:  Students will read one of the newspapers and select vocabulary words that they think are significant.  They then will determine the definition.  They will use these words and definitions to create a Magic Square.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Links for Creating Magic Square Activity Sheets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    Teacher Care Blog posted about how to create A Magic Square Sheet </w:t>
      </w:r>
      <w:hyperlink r:id="rId5">
        <w:r w:rsidRPr="00000000" w:rsidR="00000000" w:rsidDel="00000000">
          <w:rPr>
            <w:color w:val="1155cc"/>
            <w:highlight w:val="white"/>
            <w:u w:val="single"/>
            <w:rtl w:val="0"/>
          </w:rPr>
          <w:t xml:space="preserve">http://teachandcare.blogspot.com/2011/09/3x3-magic-square-vocabulary-strategy.html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Example of Magic Squares used for the book “The Adventures of Tom Sawyer”      </w:t>
      </w:r>
    </w:p>
    <w:p w:rsidP="00000000" w:rsidRPr="00000000" w:rsidR="00000000" w:rsidDel="00000000" w:rsidRDefault="00000000">
      <w:pPr>
        <w:contextualSpacing w:val="0"/>
      </w:pPr>
      <w:hyperlink r:id="rId6">
        <w:r w:rsidRPr="00000000" w:rsidR="00000000" w:rsidDel="00000000">
          <w:rPr>
            <w:color w:val="1155cc"/>
            <w:highlight w:val="white"/>
            <w:u w:val="single"/>
            <w:rtl w:val="0"/>
          </w:rPr>
          <w:t xml:space="preserve">http://teachandcare.blogspot.com/2011/09/3x3-magic-square-vocabulary-strategy.html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Vocabulary - (Includes Magic Squares)</w:t>
      </w:r>
    </w:p>
    <w:p w:rsidP="00000000" w:rsidRPr="00000000" w:rsidR="00000000" w:rsidDel="00000000" w:rsidRDefault="00000000">
      <w:pPr>
        <w:contextualSpacing w:val="0"/>
      </w:pPr>
      <w:hyperlink r:id="rId7">
        <w:r w:rsidRPr="00000000" w:rsidR="00000000" w:rsidDel="00000000">
          <w:rPr>
            <w:color w:val="1155cc"/>
            <w:highlight w:val="white"/>
            <w:u w:val="single"/>
            <w:rtl w:val="0"/>
          </w:rPr>
          <w:t xml:space="preserve">http://woodard.latech.edu/~kklopez/LRA2011/Vocabulary%20Handout%20LRA%202011.pdf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Strategies to Build Student Vocabularies</w:t>
      </w:r>
    </w:p>
    <w:p w:rsidP="00000000" w:rsidRPr="00000000" w:rsidR="00000000" w:rsidDel="00000000" w:rsidRDefault="00000000">
      <w:pPr>
        <w:contextualSpacing w:val="0"/>
      </w:pPr>
      <w:hyperlink r:id="rId8">
        <w:r w:rsidRPr="00000000" w:rsidR="00000000" w:rsidDel="00000000">
          <w:rPr>
            <w:color w:val="1155cc"/>
            <w:highlight w:val="white"/>
            <w:u w:val="single"/>
            <w:rtl w:val="0"/>
          </w:rPr>
          <w:t xml:space="preserve">http://www.olemiss.edu/celi/download/vocabulary/StrategiesVocabulary-080808.pdf</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after="80" w:before="300"/>
        <w:contextualSpacing w:val="0"/>
        <w:rPr/>
      </w:pPr>
      <w:bookmarkStart w:id="0" w:colFirst="0" w:name="h.wkishaqr1lb3" w:colLast="0"/>
      <w:bookmarkEnd w:id="0"/>
      <w:r w:rsidRPr="00000000" w:rsidR="00000000" w:rsidDel="00000000">
        <w:rPr>
          <w:rFonts w:cs="Arial" w:hAnsi="Arial" w:eastAsia="Arial" w:ascii="Arial"/>
          <w:color w:val="3b3b3a"/>
          <w:sz w:val="24"/>
          <w:highlight w:val="white"/>
          <w:rtl w:val="0"/>
        </w:rPr>
        <w:t xml:space="preserve">Vocabulary Acquisition and Use</w:t>
      </w:r>
    </w:p>
    <w:p w:rsidP="00000000" w:rsidRPr="00000000" w:rsidR="00000000" w:rsidDel="00000000" w:rsidRDefault="00000000">
      <w:pPr>
        <w:numPr>
          <w:ilvl w:val="0"/>
          <w:numId w:val="1"/>
        </w:numPr>
        <w:spacing w:lineRule="auto" w:after="160" w:line="288"/>
        <w:ind w:left="720" w:hanging="359"/>
        <w:contextualSpacing w:val="1"/>
        <w:rPr/>
      </w:pPr>
      <w:hyperlink r:id="rId9">
        <w:r w:rsidRPr="00000000" w:rsidR="00000000" w:rsidDel="00000000">
          <w:rPr>
            <w:color w:val="8a2003"/>
            <w:sz w:val="20"/>
            <w:highlight w:val="white"/>
            <w:rtl w:val="0"/>
          </w:rPr>
          <w:t xml:space="preserve">CCSS.ELA-Literacy.CCRA.L.4</w:t>
        </w:r>
      </w:hyperlink>
      <w:r w:rsidRPr="00000000" w:rsidR="00000000" w:rsidDel="00000000">
        <w:rPr>
          <w:color w:val="3b3b3a"/>
          <w:sz w:val="20"/>
          <w:highlight w:val="white"/>
          <w:rtl w:val="0"/>
        </w:rPr>
        <w:t xml:space="preserve"> Determine or clarify the meaning of unknown and multiple-meaning words and phrases by using context clues, analyzing meaningful word parts, and consulting general and specialized reference materials, as appropriate.</w:t>
      </w:r>
    </w:p>
    <w:p w:rsidP="00000000" w:rsidRPr="00000000" w:rsidR="00000000" w:rsidDel="00000000" w:rsidRDefault="00000000">
      <w:pPr>
        <w:numPr>
          <w:ilvl w:val="0"/>
          <w:numId w:val="1"/>
        </w:numPr>
        <w:spacing w:lineRule="auto" w:after="160" w:line="288"/>
        <w:ind w:left="720" w:hanging="359"/>
        <w:contextualSpacing w:val="1"/>
        <w:rPr/>
      </w:pPr>
      <w:hyperlink r:id="rId10">
        <w:r w:rsidRPr="00000000" w:rsidR="00000000" w:rsidDel="00000000">
          <w:rPr>
            <w:color w:val="8a2003"/>
            <w:sz w:val="20"/>
            <w:highlight w:val="white"/>
            <w:rtl w:val="0"/>
          </w:rPr>
          <w:t xml:space="preserve">CCSS.ELA-Literacy.CCRA.L.5</w:t>
        </w:r>
      </w:hyperlink>
      <w:r w:rsidRPr="00000000" w:rsidR="00000000" w:rsidDel="00000000">
        <w:rPr>
          <w:color w:val="3b3b3a"/>
          <w:sz w:val="20"/>
          <w:highlight w:val="white"/>
          <w:rtl w:val="0"/>
        </w:rPr>
        <w:t xml:space="preserve"> Demonstrate understanding of figurative language, word relationships, and nuances in word meanings.</w:t>
      </w:r>
    </w:p>
    <w:p w:rsidP="00000000" w:rsidRPr="00000000" w:rsidR="00000000" w:rsidDel="00000000" w:rsidRDefault="00000000">
      <w:pPr>
        <w:numPr>
          <w:ilvl w:val="0"/>
          <w:numId w:val="1"/>
        </w:numPr>
        <w:spacing w:lineRule="auto" w:after="160" w:line="288"/>
        <w:ind w:left="720" w:hanging="359"/>
        <w:contextualSpacing w:val="1"/>
        <w:rPr/>
      </w:pPr>
      <w:hyperlink r:id="rId11">
        <w:r w:rsidRPr="00000000" w:rsidR="00000000" w:rsidDel="00000000">
          <w:rPr>
            <w:color w:val="8a2003"/>
            <w:sz w:val="20"/>
            <w:highlight w:val="white"/>
            <w:rtl w:val="0"/>
          </w:rPr>
          <w:t xml:space="preserve">CCSS.ELA-Literacy.CCRA.L.6</w:t>
        </w:r>
      </w:hyperlink>
      <w:r w:rsidRPr="00000000" w:rsidR="00000000" w:rsidDel="00000000">
        <w:rPr>
          <w:color w:val="3b3b3a"/>
          <w:sz w:val="20"/>
          <w:highlight w:val="white"/>
          <w:rtl w:val="0"/>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b3b3a"/>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corestandards.org/ELA-Literacy/CCRA/L/5/" Type="http://schemas.openxmlformats.org/officeDocument/2006/relationships/hyperlink" TargetMode="External" Id="rId10"/><Relationship Target="styles.xml" Type="http://schemas.openxmlformats.org/officeDocument/2006/relationships/styles" Id="rId4"/><Relationship Target="http://www.corestandards.org/ELA-Literacy/CCRA/L/6/" Type="http://schemas.openxmlformats.org/officeDocument/2006/relationships/hyperlink" TargetMode="External" Id="rId11"/><Relationship Target="numbering.xml" Type="http://schemas.openxmlformats.org/officeDocument/2006/relationships/numbering" Id="rId3"/><Relationship Target="http://www.corestandards.org/ELA-Literacy/CCRA/L/4/" Type="http://schemas.openxmlformats.org/officeDocument/2006/relationships/hyperlink" TargetMode="External" Id="rId9"/><Relationship Target="http://teachandcare.blogspot.com/2011/09/3x3-magic-square-vocabulary-strategy.html" Type="http://schemas.openxmlformats.org/officeDocument/2006/relationships/hyperlink" TargetMode="External" Id="rId6"/><Relationship Target="http://teachandcare.blogspot.com/2011/09/3x3-magic-square-vocabulary-strategy.html" Type="http://schemas.openxmlformats.org/officeDocument/2006/relationships/hyperlink" TargetMode="External" Id="rId5"/><Relationship Target="http://www.olemiss.edu/celi/download/vocabulary/StrategiesVocabulary-080808.pdf" Type="http://schemas.openxmlformats.org/officeDocument/2006/relationships/hyperlink" TargetMode="External" Id="rId8"/><Relationship Target="http://woodard.latech.edu/~kklopez/LRA2011/Vocabulary%20Handout%20LRA%202011.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Square Vocabulary Sheet.docx</dc:title>
</cp:coreProperties>
</file>